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0F5" w:rsidRPr="001C70F5" w:rsidRDefault="001C70F5" w:rsidP="001C70F5">
      <w:pPr>
        <w:jc w:val="center"/>
        <w:rPr>
          <w:b/>
          <w:sz w:val="24"/>
        </w:rPr>
      </w:pPr>
      <w:r>
        <w:rPr>
          <w:b/>
          <w:sz w:val="24"/>
        </w:rPr>
        <w:t xml:space="preserve"> </w:t>
      </w:r>
      <w:r w:rsidRPr="001C70F5">
        <w:rPr>
          <w:b/>
          <w:sz w:val="24"/>
        </w:rPr>
        <w:t>Appointment, Evaluation and Promotion (AEP) Policies</w:t>
      </w:r>
      <w:r w:rsidR="008F5740">
        <w:rPr>
          <w:b/>
          <w:sz w:val="24"/>
        </w:rPr>
        <w:t xml:space="preserve"> for PTK F</w:t>
      </w:r>
      <w:bookmarkStart w:id="0" w:name="_GoBack"/>
      <w:bookmarkEnd w:id="0"/>
      <w:r w:rsidR="008F5740">
        <w:rPr>
          <w:b/>
          <w:sz w:val="24"/>
        </w:rPr>
        <w:t>aculty</w:t>
      </w:r>
    </w:p>
    <w:p w:rsidR="0027619B" w:rsidRDefault="0027619B" w:rsidP="002F695B">
      <w:pPr>
        <w:contextualSpacing/>
      </w:pPr>
    </w:p>
    <w:tbl>
      <w:tblPr>
        <w:tblStyle w:val="TableGrid"/>
        <w:tblW w:w="0" w:type="auto"/>
        <w:jc w:val="center"/>
        <w:tblLook w:val="04A0" w:firstRow="1" w:lastRow="0" w:firstColumn="1" w:lastColumn="0" w:noHBand="0" w:noVBand="1"/>
      </w:tblPr>
      <w:tblGrid>
        <w:gridCol w:w="6608"/>
        <w:gridCol w:w="1892"/>
      </w:tblGrid>
      <w:tr w:rsidR="003B6BD5" w:rsidRPr="00633E70" w:rsidTr="00DC0713">
        <w:trPr>
          <w:trHeight w:val="893"/>
          <w:jc w:val="center"/>
        </w:trPr>
        <w:tc>
          <w:tcPr>
            <w:tcW w:w="6608" w:type="dxa"/>
            <w:vAlign w:val="center"/>
          </w:tcPr>
          <w:p w:rsidR="003B6BD5" w:rsidRDefault="003B6BD5" w:rsidP="002F6225">
            <w:pPr>
              <w:contextualSpacing/>
            </w:pPr>
            <w:r>
              <w:t xml:space="preserve">Section.Paragraph citations for items listed below refer to relevant sections and paragraphs of </w:t>
            </w:r>
            <w:hyperlink r:id="rId8" w:history="1">
              <w:r w:rsidRPr="007F34AF">
                <w:rPr>
                  <w:rFonts w:eastAsia="Calibri"/>
                  <w:color w:val="0000FF"/>
                  <w:szCs w:val="28"/>
                  <w:u w:val="single"/>
                </w:rPr>
                <w:t>UM Guidelines for Appointment, Evaluation, and Promotion of Professional Track Faculty</w:t>
              </w:r>
            </w:hyperlink>
            <w:r>
              <w:rPr>
                <w:rFonts w:eastAsia="Calibri"/>
                <w:szCs w:val="28"/>
              </w:rPr>
              <w:t>.</w:t>
            </w:r>
          </w:p>
        </w:tc>
        <w:tc>
          <w:tcPr>
            <w:tcW w:w="1892" w:type="dxa"/>
          </w:tcPr>
          <w:p w:rsidR="003B6BD5" w:rsidRPr="001C70F5" w:rsidRDefault="003B6BD5" w:rsidP="001C70F5">
            <w:pPr>
              <w:suppressAutoHyphens/>
              <w:spacing w:line="276" w:lineRule="auto"/>
              <w:jc w:val="center"/>
              <w:rPr>
                <w:b/>
              </w:rPr>
            </w:pPr>
          </w:p>
        </w:tc>
      </w:tr>
      <w:tr w:rsidR="003B6BD5" w:rsidRPr="00633E70" w:rsidTr="003B6BD5">
        <w:trPr>
          <w:jc w:val="center"/>
        </w:trPr>
        <w:tc>
          <w:tcPr>
            <w:tcW w:w="6608" w:type="dxa"/>
          </w:tcPr>
          <w:p w:rsidR="003B6BD5" w:rsidRPr="00633E70" w:rsidRDefault="003B6BD5" w:rsidP="00527CC8">
            <w:pPr>
              <w:pStyle w:val="ListParagraph"/>
              <w:numPr>
                <w:ilvl w:val="0"/>
                <w:numId w:val="8"/>
              </w:numPr>
              <w:suppressAutoHyphens/>
              <w:spacing w:line="276" w:lineRule="auto"/>
              <w:ind w:left="360"/>
            </w:pPr>
            <w:r w:rsidRPr="00633E70">
              <w:t xml:space="preserve">The AEP policy specifies that new hires </w:t>
            </w:r>
            <w:r>
              <w:t xml:space="preserve">1.) </w:t>
            </w:r>
            <w:r w:rsidRPr="00633E70">
              <w:t xml:space="preserve">will receive a copy of the </w:t>
            </w:r>
            <w:r>
              <w:t>unit</w:t>
            </w:r>
            <w:r w:rsidRPr="00633E70">
              <w:t>’s evaluation and promotion policy</w:t>
            </w:r>
            <w:r>
              <w:t>, or 2.) will be provided the URL where the unit’s AEP policy can be found</w:t>
            </w:r>
            <w:r w:rsidRPr="00633E70">
              <w:t>. (II.C.)</w:t>
            </w:r>
          </w:p>
        </w:tc>
        <w:tc>
          <w:tcPr>
            <w:tcW w:w="1892" w:type="dxa"/>
            <w:vAlign w:val="center"/>
          </w:tcPr>
          <w:p w:rsidR="003B6BD5" w:rsidRPr="00E914C9" w:rsidRDefault="003B6BD5" w:rsidP="00F42564">
            <w:pPr>
              <w:suppressAutoHyphens/>
              <w:spacing w:after="200" w:line="276" w:lineRule="auto"/>
              <w:jc w:val="center"/>
            </w:pPr>
          </w:p>
        </w:tc>
      </w:tr>
      <w:tr w:rsidR="003B6BD5" w:rsidRPr="00633E70" w:rsidTr="003B6BD5">
        <w:trPr>
          <w:jc w:val="center"/>
        </w:trPr>
        <w:tc>
          <w:tcPr>
            <w:tcW w:w="6608" w:type="dxa"/>
          </w:tcPr>
          <w:p w:rsidR="003B6BD5" w:rsidRPr="00633E70" w:rsidRDefault="003B6BD5" w:rsidP="003727CC">
            <w:pPr>
              <w:pStyle w:val="ListParagraph"/>
              <w:numPr>
                <w:ilvl w:val="0"/>
                <w:numId w:val="8"/>
              </w:numPr>
              <w:suppressAutoHyphens/>
              <w:spacing w:line="276" w:lineRule="auto"/>
              <w:ind w:left="360"/>
            </w:pPr>
            <w:r w:rsidRPr="00633E70">
              <w:t xml:space="preserve">The AEP policy provides for PTK faculty voting representation on committees that are tasked with creating, adopting, </w:t>
            </w:r>
            <w:r>
              <w:t xml:space="preserve">or </w:t>
            </w:r>
            <w:r w:rsidRPr="00633E70">
              <w:t xml:space="preserve">revising </w:t>
            </w:r>
            <w:r>
              <w:t xml:space="preserve">policies on the </w:t>
            </w:r>
            <w:r w:rsidRPr="00633E70">
              <w:t>appointment, evaluation, and promotion of PTK faculty. (III.B.)</w:t>
            </w:r>
          </w:p>
        </w:tc>
        <w:tc>
          <w:tcPr>
            <w:tcW w:w="1892" w:type="dxa"/>
            <w:vAlign w:val="center"/>
          </w:tcPr>
          <w:p w:rsidR="003B6BD5" w:rsidRPr="00E914C9" w:rsidRDefault="003B6BD5" w:rsidP="003B6BD5">
            <w:pPr>
              <w:suppressAutoHyphens/>
              <w:jc w:val="center"/>
            </w:pPr>
          </w:p>
        </w:tc>
      </w:tr>
      <w:tr w:rsidR="003B6BD5" w:rsidRPr="00633E70" w:rsidTr="003B6BD5">
        <w:trPr>
          <w:jc w:val="center"/>
        </w:trPr>
        <w:tc>
          <w:tcPr>
            <w:tcW w:w="6608" w:type="dxa"/>
          </w:tcPr>
          <w:p w:rsidR="003B6BD5" w:rsidRPr="00633E70" w:rsidRDefault="003B6BD5" w:rsidP="00BE30FF">
            <w:pPr>
              <w:pStyle w:val="ListParagraph"/>
              <w:numPr>
                <w:ilvl w:val="0"/>
                <w:numId w:val="8"/>
              </w:numPr>
              <w:suppressAutoHyphens/>
              <w:spacing w:line="276" w:lineRule="auto"/>
              <w:ind w:left="360"/>
            </w:pPr>
            <w:r w:rsidRPr="00633E70">
              <w:t xml:space="preserve">The AEP policy </w:t>
            </w:r>
            <w:r>
              <w:t>specifies the</w:t>
            </w:r>
            <w:r w:rsidRPr="00633E70">
              <w:t xml:space="preserve"> </w:t>
            </w:r>
            <w:r w:rsidRPr="00BE30FF">
              <w:t>qualifications</w:t>
            </w:r>
            <w:r w:rsidRPr="00633E70">
              <w:t xml:space="preserve"> </w:t>
            </w:r>
            <w:r>
              <w:t xml:space="preserve">and evaluation criteria </w:t>
            </w:r>
            <w:r w:rsidRPr="00633E70">
              <w:t>for appointment and promotion. If broad qualifications as stated in the University APT policy are referenced, any exceptions relevant to PTK faculty are clearly identified. (III.C, III.E; IV.C; V.D</w:t>
            </w:r>
            <w:r>
              <w:t>.</w:t>
            </w:r>
            <w:r w:rsidRPr="00633E70">
              <w:t>)</w:t>
            </w:r>
            <w:r>
              <w:t xml:space="preserve"> </w:t>
            </w:r>
          </w:p>
        </w:tc>
        <w:tc>
          <w:tcPr>
            <w:tcW w:w="1892" w:type="dxa"/>
            <w:vAlign w:val="center"/>
          </w:tcPr>
          <w:p w:rsidR="003B6BD5" w:rsidRPr="00E914C9" w:rsidRDefault="003B6BD5" w:rsidP="007A105B">
            <w:pPr>
              <w:suppressAutoHyphens/>
            </w:pPr>
          </w:p>
        </w:tc>
      </w:tr>
      <w:tr w:rsidR="003B6BD5" w:rsidRPr="00633E70" w:rsidTr="003B6BD5">
        <w:trPr>
          <w:jc w:val="center"/>
        </w:trPr>
        <w:tc>
          <w:tcPr>
            <w:tcW w:w="6608" w:type="dxa"/>
          </w:tcPr>
          <w:p w:rsidR="003B6BD5" w:rsidRPr="00633E70" w:rsidRDefault="003B6BD5" w:rsidP="00BE30FF">
            <w:pPr>
              <w:pStyle w:val="ListParagraph"/>
              <w:numPr>
                <w:ilvl w:val="0"/>
                <w:numId w:val="8"/>
              </w:numPr>
              <w:suppressAutoHyphens/>
              <w:spacing w:line="276" w:lineRule="auto"/>
              <w:ind w:left="360"/>
            </w:pPr>
            <w:r w:rsidRPr="00633E70">
              <w:t>The AEP policy states that first-level reviews (conducted by the department or the College) shall be conducted by a committee. PTK faculty at the same or higher rank than the one being sought are included with voting representation on the committee. (III.C</w:t>
            </w:r>
            <w:r>
              <w:t>.</w:t>
            </w:r>
            <w:r w:rsidRPr="00633E70">
              <w:t>)</w:t>
            </w:r>
            <w:r>
              <w:t xml:space="preserve">  The policy specifies how the unit will handle reviews if there are no PTK faculty at the necessary rank.</w:t>
            </w:r>
          </w:p>
        </w:tc>
        <w:tc>
          <w:tcPr>
            <w:tcW w:w="1892" w:type="dxa"/>
            <w:vAlign w:val="center"/>
          </w:tcPr>
          <w:p w:rsidR="003B6BD5" w:rsidRPr="00E914C9" w:rsidRDefault="003B6BD5" w:rsidP="00853FAD">
            <w:pPr>
              <w:suppressAutoHyphens/>
            </w:pPr>
          </w:p>
        </w:tc>
      </w:tr>
      <w:tr w:rsidR="003B6BD5" w:rsidRPr="00633E70" w:rsidTr="003B6BD5">
        <w:trPr>
          <w:jc w:val="center"/>
        </w:trPr>
        <w:tc>
          <w:tcPr>
            <w:tcW w:w="6608" w:type="dxa"/>
          </w:tcPr>
          <w:p w:rsidR="003B6BD5" w:rsidRPr="00633E70" w:rsidRDefault="003B6BD5" w:rsidP="00A97B9B">
            <w:pPr>
              <w:pStyle w:val="ListParagraph"/>
              <w:numPr>
                <w:ilvl w:val="0"/>
                <w:numId w:val="8"/>
              </w:numPr>
              <w:suppressAutoHyphens/>
              <w:spacing w:line="276" w:lineRule="auto"/>
              <w:ind w:left="360"/>
            </w:pPr>
            <w:r w:rsidRPr="00633E70">
              <w:t>The AEP policy includes a full description of the application and review process, including but not limited to: (IV.A</w:t>
            </w:r>
            <w:r>
              <w:t>.</w:t>
            </w:r>
            <w:r w:rsidRPr="00633E70">
              <w:t>)</w:t>
            </w:r>
          </w:p>
        </w:tc>
        <w:tc>
          <w:tcPr>
            <w:tcW w:w="1892" w:type="dxa"/>
            <w:vAlign w:val="center"/>
          </w:tcPr>
          <w:p w:rsidR="003B6BD5" w:rsidRDefault="003B6BD5" w:rsidP="00600124">
            <w:pPr>
              <w:suppressAutoHyphens/>
              <w:spacing w:after="200" w:line="276" w:lineRule="auto"/>
              <w:jc w:val="center"/>
            </w:pPr>
          </w:p>
        </w:tc>
      </w:tr>
      <w:tr w:rsidR="003B6BD5" w:rsidRPr="00633E70" w:rsidTr="003B6BD5">
        <w:trPr>
          <w:jc w:val="center"/>
        </w:trPr>
        <w:tc>
          <w:tcPr>
            <w:tcW w:w="6608" w:type="dxa"/>
          </w:tcPr>
          <w:p w:rsidR="003B6BD5" w:rsidRPr="00633E70" w:rsidRDefault="003B6BD5" w:rsidP="00A97B9B">
            <w:pPr>
              <w:pStyle w:val="ListParagraph"/>
              <w:numPr>
                <w:ilvl w:val="1"/>
                <w:numId w:val="9"/>
              </w:numPr>
              <w:suppressAutoHyphens/>
              <w:spacing w:line="276" w:lineRule="auto"/>
            </w:pPr>
            <w:r w:rsidRPr="00633E70">
              <w:rPr>
                <w:sz w:val="20"/>
                <w:szCs w:val="20"/>
              </w:rPr>
              <w:t>The materials to be submitted by the faculty member;</w:t>
            </w:r>
          </w:p>
        </w:tc>
        <w:tc>
          <w:tcPr>
            <w:tcW w:w="1892" w:type="dxa"/>
            <w:vAlign w:val="center"/>
          </w:tcPr>
          <w:p w:rsidR="003B6BD5" w:rsidRPr="00E914C9" w:rsidRDefault="003B6BD5" w:rsidP="007A105B">
            <w:pPr>
              <w:suppressAutoHyphens/>
              <w:spacing w:after="200" w:line="276" w:lineRule="auto"/>
              <w:rPr>
                <w:sz w:val="20"/>
                <w:szCs w:val="20"/>
              </w:rPr>
            </w:pPr>
          </w:p>
        </w:tc>
      </w:tr>
      <w:tr w:rsidR="003B6BD5" w:rsidRPr="00633E70" w:rsidTr="003B6BD5">
        <w:trPr>
          <w:jc w:val="center"/>
        </w:trPr>
        <w:tc>
          <w:tcPr>
            <w:tcW w:w="6608" w:type="dxa"/>
          </w:tcPr>
          <w:p w:rsidR="003B6BD5" w:rsidRPr="00633E70" w:rsidRDefault="003B6BD5" w:rsidP="00A97B9B">
            <w:pPr>
              <w:pStyle w:val="ListParagraph"/>
              <w:numPr>
                <w:ilvl w:val="1"/>
                <w:numId w:val="9"/>
              </w:numPr>
              <w:suppressAutoHyphens/>
              <w:spacing w:line="276" w:lineRule="auto"/>
            </w:pPr>
            <w:r w:rsidRPr="00633E70">
              <w:rPr>
                <w:sz w:val="20"/>
                <w:szCs w:val="20"/>
              </w:rPr>
              <w:t>To whom the faculty member submits the materials;</w:t>
            </w:r>
          </w:p>
        </w:tc>
        <w:tc>
          <w:tcPr>
            <w:tcW w:w="1892" w:type="dxa"/>
            <w:vAlign w:val="center"/>
          </w:tcPr>
          <w:p w:rsidR="003B6BD5" w:rsidRPr="00E914C9" w:rsidRDefault="003B6BD5" w:rsidP="0012596A">
            <w:pPr>
              <w:suppressAutoHyphens/>
              <w:spacing w:after="200" w:line="276" w:lineRule="auto"/>
              <w:rPr>
                <w:sz w:val="20"/>
                <w:szCs w:val="20"/>
              </w:rPr>
            </w:pPr>
          </w:p>
        </w:tc>
      </w:tr>
      <w:tr w:rsidR="003B6BD5" w:rsidRPr="00633E70" w:rsidTr="003B6BD5">
        <w:trPr>
          <w:jc w:val="center"/>
        </w:trPr>
        <w:tc>
          <w:tcPr>
            <w:tcW w:w="6608" w:type="dxa"/>
          </w:tcPr>
          <w:p w:rsidR="003B6BD5" w:rsidRPr="00633E70" w:rsidRDefault="003B6BD5" w:rsidP="00A97B9B">
            <w:pPr>
              <w:pStyle w:val="ListParagraph"/>
              <w:numPr>
                <w:ilvl w:val="1"/>
                <w:numId w:val="9"/>
              </w:numPr>
              <w:suppressAutoHyphens/>
              <w:spacing w:line="276" w:lineRule="auto"/>
            </w:pPr>
            <w:r w:rsidRPr="00633E70">
              <w:rPr>
                <w:sz w:val="20"/>
                <w:szCs w:val="20"/>
              </w:rPr>
              <w:t>Application deadlines and maximum time to review; and</w:t>
            </w:r>
          </w:p>
        </w:tc>
        <w:tc>
          <w:tcPr>
            <w:tcW w:w="1892" w:type="dxa"/>
            <w:vAlign w:val="center"/>
          </w:tcPr>
          <w:p w:rsidR="003B6BD5" w:rsidRPr="00E914C9" w:rsidRDefault="003B6BD5" w:rsidP="00853FAD">
            <w:pPr>
              <w:suppressAutoHyphens/>
              <w:rPr>
                <w:sz w:val="20"/>
                <w:szCs w:val="20"/>
              </w:rPr>
            </w:pPr>
          </w:p>
        </w:tc>
      </w:tr>
      <w:tr w:rsidR="003B6BD5" w:rsidRPr="00633E70" w:rsidTr="003B6BD5">
        <w:trPr>
          <w:jc w:val="center"/>
        </w:trPr>
        <w:tc>
          <w:tcPr>
            <w:tcW w:w="6608" w:type="dxa"/>
          </w:tcPr>
          <w:p w:rsidR="003B6BD5" w:rsidRPr="00633E70" w:rsidRDefault="003B6BD5" w:rsidP="00A97B9B">
            <w:pPr>
              <w:pStyle w:val="ListParagraph"/>
              <w:numPr>
                <w:ilvl w:val="1"/>
                <w:numId w:val="9"/>
              </w:numPr>
              <w:suppressAutoHyphens/>
              <w:spacing w:line="276" w:lineRule="auto"/>
            </w:pPr>
            <w:r w:rsidRPr="00633E70">
              <w:rPr>
                <w:sz w:val="20"/>
                <w:szCs w:val="20"/>
              </w:rPr>
              <w:t>Where appropriate, separate guidelines are provided for different tracks (research, clinical, instructional).</w:t>
            </w:r>
          </w:p>
        </w:tc>
        <w:tc>
          <w:tcPr>
            <w:tcW w:w="1892" w:type="dxa"/>
            <w:vAlign w:val="center"/>
          </w:tcPr>
          <w:p w:rsidR="003B6BD5" w:rsidRPr="00E914C9" w:rsidRDefault="003B6BD5" w:rsidP="00853FAD">
            <w:pPr>
              <w:suppressAutoHyphens/>
              <w:spacing w:after="200" w:line="276" w:lineRule="auto"/>
              <w:rPr>
                <w:sz w:val="20"/>
                <w:szCs w:val="20"/>
              </w:rPr>
            </w:pPr>
          </w:p>
        </w:tc>
      </w:tr>
      <w:tr w:rsidR="003B6BD5" w:rsidRPr="00633E70" w:rsidTr="003B6BD5">
        <w:trPr>
          <w:jc w:val="center"/>
        </w:trPr>
        <w:tc>
          <w:tcPr>
            <w:tcW w:w="6608" w:type="dxa"/>
          </w:tcPr>
          <w:p w:rsidR="003B6BD5" w:rsidRPr="00633E70" w:rsidRDefault="003B6BD5" w:rsidP="00AD465C">
            <w:pPr>
              <w:pStyle w:val="ListParagraph"/>
              <w:numPr>
                <w:ilvl w:val="0"/>
                <w:numId w:val="8"/>
              </w:numPr>
              <w:suppressAutoHyphens/>
              <w:spacing w:line="276" w:lineRule="auto"/>
              <w:ind w:left="360"/>
            </w:pPr>
            <w:r w:rsidRPr="00633E70">
              <w:t xml:space="preserve">The AEP policy states that the </w:t>
            </w:r>
            <w:r>
              <w:t>unit</w:t>
            </w:r>
            <w:r w:rsidRPr="00633E70">
              <w:t xml:space="preserve"> will use the online contract management system to ensure that all contracts contain necessary elements, including a clear description of assignments and expectations associated with the appointment, as well as information on how to access unit-level PTK policies and professional resources. (IV.A.; IV.B.)</w:t>
            </w:r>
          </w:p>
        </w:tc>
        <w:tc>
          <w:tcPr>
            <w:tcW w:w="1892" w:type="dxa"/>
            <w:vAlign w:val="center"/>
          </w:tcPr>
          <w:p w:rsidR="003B6BD5" w:rsidRPr="00E914C9" w:rsidRDefault="003B6BD5" w:rsidP="00600124">
            <w:pPr>
              <w:suppressAutoHyphens/>
              <w:spacing w:after="200" w:line="276" w:lineRule="auto"/>
              <w:jc w:val="center"/>
            </w:pPr>
          </w:p>
        </w:tc>
      </w:tr>
      <w:tr w:rsidR="003B6BD5" w:rsidRPr="00633E70" w:rsidTr="003B6BD5">
        <w:trPr>
          <w:jc w:val="center"/>
        </w:trPr>
        <w:tc>
          <w:tcPr>
            <w:tcW w:w="6608" w:type="dxa"/>
          </w:tcPr>
          <w:p w:rsidR="003B6BD5" w:rsidRPr="00633E70" w:rsidRDefault="003B6BD5" w:rsidP="00A97B9B">
            <w:pPr>
              <w:pStyle w:val="ListParagraph"/>
              <w:numPr>
                <w:ilvl w:val="0"/>
                <w:numId w:val="8"/>
              </w:numPr>
              <w:suppressAutoHyphens/>
              <w:spacing w:line="276" w:lineRule="auto"/>
              <w:ind w:left="360"/>
            </w:pPr>
            <w:r w:rsidRPr="00633E70">
              <w:t>The AEP policy states that the specific faculty title shall correspond to the majority of the appointee’s effort, as indicated by the assignments and expectations. The rank shall be appropriate given the unit’s specific criteria for such rank. (IV.C</w:t>
            </w:r>
            <w:r>
              <w:t>.</w:t>
            </w:r>
            <w:r w:rsidRPr="00633E70">
              <w:t>)</w:t>
            </w:r>
          </w:p>
        </w:tc>
        <w:tc>
          <w:tcPr>
            <w:tcW w:w="1892" w:type="dxa"/>
            <w:vAlign w:val="center"/>
          </w:tcPr>
          <w:p w:rsidR="003B6BD5" w:rsidRPr="00E914C9" w:rsidRDefault="003B6BD5" w:rsidP="00600124">
            <w:pPr>
              <w:suppressAutoHyphens/>
              <w:spacing w:after="200" w:line="276" w:lineRule="auto"/>
              <w:jc w:val="center"/>
            </w:pPr>
          </w:p>
        </w:tc>
      </w:tr>
      <w:tr w:rsidR="003B6BD5" w:rsidRPr="00633E70" w:rsidTr="001C6F53">
        <w:trPr>
          <w:trHeight w:val="521"/>
          <w:jc w:val="center"/>
        </w:trPr>
        <w:tc>
          <w:tcPr>
            <w:tcW w:w="6608" w:type="dxa"/>
          </w:tcPr>
          <w:p w:rsidR="003B6BD5" w:rsidRPr="00633E70" w:rsidRDefault="003B6BD5" w:rsidP="00A97B9B">
            <w:pPr>
              <w:pStyle w:val="ListParagraph"/>
              <w:numPr>
                <w:ilvl w:val="0"/>
                <w:numId w:val="8"/>
              </w:numPr>
              <w:suppressAutoHyphens/>
              <w:spacing w:line="276" w:lineRule="auto"/>
              <w:ind w:left="360"/>
            </w:pPr>
            <w:r w:rsidRPr="00633E70">
              <w:t>The AEP policy states that whenever possible, PTK faculty should be given progressively longer contracts. (IV.D</w:t>
            </w:r>
            <w:r>
              <w:t>.</w:t>
            </w:r>
            <w:r w:rsidRPr="00633E70">
              <w:t>)</w:t>
            </w:r>
          </w:p>
        </w:tc>
        <w:tc>
          <w:tcPr>
            <w:tcW w:w="1892" w:type="dxa"/>
            <w:vAlign w:val="center"/>
          </w:tcPr>
          <w:p w:rsidR="003B6BD5" w:rsidRPr="00E914C9" w:rsidRDefault="003B6BD5" w:rsidP="003B6BD5">
            <w:pPr>
              <w:suppressAutoHyphens/>
            </w:pPr>
          </w:p>
        </w:tc>
      </w:tr>
      <w:tr w:rsidR="003B6BD5" w:rsidRPr="00633E70" w:rsidTr="003B6BD5">
        <w:trPr>
          <w:jc w:val="center"/>
        </w:trPr>
        <w:tc>
          <w:tcPr>
            <w:tcW w:w="6608" w:type="dxa"/>
          </w:tcPr>
          <w:p w:rsidR="003B6BD5" w:rsidRPr="00633E70" w:rsidRDefault="003B6BD5" w:rsidP="00A97B9B">
            <w:pPr>
              <w:pStyle w:val="ListParagraph"/>
              <w:numPr>
                <w:ilvl w:val="0"/>
                <w:numId w:val="8"/>
              </w:numPr>
              <w:suppressAutoHyphens/>
              <w:spacing w:line="276" w:lineRule="auto"/>
              <w:ind w:left="360"/>
            </w:pPr>
            <w:r w:rsidRPr="00633E70">
              <w:t>The AEP policy includes a mentoring plan, or a mentoring plan for PTK faculty is referred to as separate document (i.e. with a link). (V.B.)</w:t>
            </w:r>
          </w:p>
        </w:tc>
        <w:tc>
          <w:tcPr>
            <w:tcW w:w="1892" w:type="dxa"/>
            <w:vAlign w:val="center"/>
          </w:tcPr>
          <w:p w:rsidR="003B6BD5" w:rsidRPr="00E914C9" w:rsidRDefault="003B6BD5" w:rsidP="003B6BD5">
            <w:pPr>
              <w:suppressAutoHyphens/>
            </w:pPr>
          </w:p>
        </w:tc>
      </w:tr>
      <w:tr w:rsidR="003B6BD5" w:rsidRPr="00633E70" w:rsidTr="003B6BD5">
        <w:trPr>
          <w:jc w:val="center"/>
        </w:trPr>
        <w:tc>
          <w:tcPr>
            <w:tcW w:w="6608" w:type="dxa"/>
          </w:tcPr>
          <w:p w:rsidR="003B6BD5" w:rsidRPr="00633E70" w:rsidRDefault="003B6BD5" w:rsidP="00A97B9B">
            <w:pPr>
              <w:pStyle w:val="ListParagraph"/>
              <w:numPr>
                <w:ilvl w:val="0"/>
                <w:numId w:val="8"/>
              </w:numPr>
              <w:suppressAutoHyphens/>
              <w:spacing w:line="276" w:lineRule="auto"/>
              <w:ind w:left="360"/>
            </w:pPr>
            <w:r w:rsidRPr="00633E70">
              <w:t>The AEP policy either provides minimum/typical/maximum time in rank between evaluation for promotion if such expectations exist, or the policy states that such expectations do not exist. (V.C</w:t>
            </w:r>
            <w:r>
              <w:t>.</w:t>
            </w:r>
            <w:r w:rsidRPr="00633E70">
              <w:t>)</w:t>
            </w:r>
          </w:p>
        </w:tc>
        <w:tc>
          <w:tcPr>
            <w:tcW w:w="1892" w:type="dxa"/>
            <w:vAlign w:val="center"/>
          </w:tcPr>
          <w:p w:rsidR="003B6BD5" w:rsidRPr="00E914C9" w:rsidRDefault="003B6BD5" w:rsidP="00187174">
            <w:pPr>
              <w:suppressAutoHyphens/>
            </w:pPr>
          </w:p>
        </w:tc>
      </w:tr>
      <w:tr w:rsidR="003B6BD5" w:rsidRPr="00633E70" w:rsidTr="003B6BD5">
        <w:trPr>
          <w:jc w:val="center"/>
        </w:trPr>
        <w:tc>
          <w:tcPr>
            <w:tcW w:w="6608" w:type="dxa"/>
          </w:tcPr>
          <w:p w:rsidR="003B6BD5" w:rsidRPr="00633E70" w:rsidRDefault="003B6BD5" w:rsidP="00A97B9B">
            <w:pPr>
              <w:pStyle w:val="ListParagraph"/>
              <w:numPr>
                <w:ilvl w:val="0"/>
                <w:numId w:val="8"/>
              </w:numPr>
              <w:suppressAutoHyphens/>
              <w:spacing w:line="276" w:lineRule="auto"/>
              <w:ind w:left="360"/>
            </w:pPr>
            <w:r w:rsidRPr="00633E70">
              <w:lastRenderedPageBreak/>
              <w:t>The AEP policy specifies the process for transmittal of written promotion decisions. (V.H.)</w:t>
            </w:r>
          </w:p>
        </w:tc>
        <w:tc>
          <w:tcPr>
            <w:tcW w:w="1892" w:type="dxa"/>
            <w:vAlign w:val="center"/>
          </w:tcPr>
          <w:p w:rsidR="003B6BD5" w:rsidRPr="00E914C9" w:rsidRDefault="003B6BD5" w:rsidP="00600124">
            <w:pPr>
              <w:suppressAutoHyphens/>
              <w:spacing w:after="200" w:line="276" w:lineRule="auto"/>
              <w:jc w:val="center"/>
            </w:pPr>
          </w:p>
        </w:tc>
      </w:tr>
      <w:tr w:rsidR="003B6BD5" w:rsidRPr="00633E70" w:rsidTr="003B6BD5">
        <w:trPr>
          <w:jc w:val="center"/>
        </w:trPr>
        <w:tc>
          <w:tcPr>
            <w:tcW w:w="6608" w:type="dxa"/>
          </w:tcPr>
          <w:p w:rsidR="003B6BD5" w:rsidRDefault="003B6BD5" w:rsidP="00A97B9B">
            <w:pPr>
              <w:pStyle w:val="ListParagraph"/>
              <w:numPr>
                <w:ilvl w:val="0"/>
                <w:numId w:val="8"/>
              </w:numPr>
              <w:suppressAutoHyphens/>
              <w:spacing w:line="276" w:lineRule="auto"/>
              <w:ind w:left="360"/>
            </w:pPr>
            <w:r w:rsidRPr="00633E70">
              <w:t>The AEP policy states the process for appealing a negative decision. (V.H.)</w:t>
            </w:r>
          </w:p>
          <w:p w:rsidR="003B6BD5" w:rsidRPr="00633E70" w:rsidRDefault="003B6BD5" w:rsidP="00527CC8">
            <w:pPr>
              <w:pStyle w:val="ListParagraph"/>
              <w:suppressAutoHyphens/>
              <w:spacing w:line="276" w:lineRule="auto"/>
              <w:ind w:left="360"/>
            </w:pPr>
            <w:r>
              <w:t>College policies reference the process as established by the Office of Faculty Affairs; unit level policies can do the same.</w:t>
            </w:r>
          </w:p>
        </w:tc>
        <w:tc>
          <w:tcPr>
            <w:tcW w:w="1892" w:type="dxa"/>
            <w:vAlign w:val="center"/>
          </w:tcPr>
          <w:p w:rsidR="003B6BD5" w:rsidRPr="00E914C9" w:rsidRDefault="003B6BD5" w:rsidP="00600124">
            <w:pPr>
              <w:suppressAutoHyphens/>
              <w:spacing w:after="200" w:line="276" w:lineRule="auto"/>
              <w:jc w:val="center"/>
            </w:pPr>
          </w:p>
        </w:tc>
      </w:tr>
      <w:tr w:rsidR="003B6BD5" w:rsidRPr="00633E70" w:rsidTr="003B6BD5">
        <w:trPr>
          <w:jc w:val="center"/>
        </w:trPr>
        <w:tc>
          <w:tcPr>
            <w:tcW w:w="6608" w:type="dxa"/>
          </w:tcPr>
          <w:p w:rsidR="003B6BD5" w:rsidRPr="00633E70" w:rsidRDefault="003B6BD5" w:rsidP="00A97B9B">
            <w:pPr>
              <w:pStyle w:val="ListParagraph"/>
              <w:numPr>
                <w:ilvl w:val="0"/>
                <w:numId w:val="8"/>
              </w:numPr>
              <w:suppressAutoHyphens/>
              <w:spacing w:line="276" w:lineRule="auto"/>
              <w:ind w:left="360"/>
            </w:pPr>
            <w:r w:rsidRPr="00633E70">
              <w:t>The AEP policy states that negative decisions for promotion do not preclude renewal of the existing PTK appointment; i.e., PTK faculty appointments are not “up or out”. (V.I.)</w:t>
            </w:r>
          </w:p>
        </w:tc>
        <w:tc>
          <w:tcPr>
            <w:tcW w:w="1892" w:type="dxa"/>
            <w:vAlign w:val="center"/>
          </w:tcPr>
          <w:p w:rsidR="003B6BD5" w:rsidRPr="00E914C9" w:rsidRDefault="003B6BD5" w:rsidP="00600124">
            <w:pPr>
              <w:suppressAutoHyphens/>
              <w:spacing w:after="200" w:line="276" w:lineRule="auto"/>
              <w:jc w:val="center"/>
            </w:pPr>
          </w:p>
        </w:tc>
      </w:tr>
      <w:tr w:rsidR="003B6BD5" w:rsidRPr="00633E70" w:rsidTr="003B6BD5">
        <w:trPr>
          <w:jc w:val="center"/>
        </w:trPr>
        <w:tc>
          <w:tcPr>
            <w:tcW w:w="6608" w:type="dxa"/>
          </w:tcPr>
          <w:p w:rsidR="003B6BD5" w:rsidRPr="00633E70" w:rsidRDefault="003B6BD5" w:rsidP="00A97B9B">
            <w:pPr>
              <w:pStyle w:val="ListParagraph"/>
              <w:numPr>
                <w:ilvl w:val="0"/>
                <w:numId w:val="8"/>
              </w:numPr>
              <w:suppressAutoHyphens/>
              <w:spacing w:line="276" w:lineRule="auto"/>
              <w:ind w:left="360"/>
            </w:pPr>
            <w:r w:rsidRPr="00633E70">
              <w:t>The AEP policy states that promotions cannot be rescinded. (V.K.)</w:t>
            </w:r>
          </w:p>
        </w:tc>
        <w:tc>
          <w:tcPr>
            <w:tcW w:w="1892" w:type="dxa"/>
            <w:vAlign w:val="center"/>
          </w:tcPr>
          <w:p w:rsidR="003B6BD5" w:rsidRPr="00E914C9" w:rsidRDefault="003B6BD5" w:rsidP="00600124">
            <w:pPr>
              <w:suppressAutoHyphens/>
              <w:spacing w:after="200" w:line="276" w:lineRule="auto"/>
              <w:jc w:val="center"/>
            </w:pPr>
          </w:p>
        </w:tc>
      </w:tr>
      <w:tr w:rsidR="003B6BD5" w:rsidRPr="00633E70" w:rsidTr="003B6BD5">
        <w:trPr>
          <w:jc w:val="center"/>
        </w:trPr>
        <w:tc>
          <w:tcPr>
            <w:tcW w:w="6608" w:type="dxa"/>
          </w:tcPr>
          <w:p w:rsidR="003B6BD5" w:rsidRPr="00633E70" w:rsidRDefault="003B6BD5" w:rsidP="00AD465C">
            <w:pPr>
              <w:pStyle w:val="ListParagraph"/>
              <w:numPr>
                <w:ilvl w:val="0"/>
                <w:numId w:val="8"/>
              </w:numPr>
              <w:suppressAutoHyphens/>
              <w:spacing w:line="276" w:lineRule="auto"/>
              <w:ind w:left="360"/>
            </w:pPr>
            <w:r w:rsidRPr="00633E70">
              <w:t>The AEP policy states that decisions on promotion shall be made based on the evaluation criteria and the reviewee’s performance. (V.L.)</w:t>
            </w:r>
          </w:p>
        </w:tc>
        <w:tc>
          <w:tcPr>
            <w:tcW w:w="1892" w:type="dxa"/>
            <w:vAlign w:val="center"/>
          </w:tcPr>
          <w:p w:rsidR="003B6BD5" w:rsidRPr="00E914C9" w:rsidRDefault="003B6BD5" w:rsidP="003B6BD5">
            <w:pPr>
              <w:suppressAutoHyphens/>
            </w:pPr>
          </w:p>
        </w:tc>
      </w:tr>
      <w:tr w:rsidR="003B6BD5" w:rsidRPr="00633E70" w:rsidTr="003B6BD5">
        <w:trPr>
          <w:jc w:val="center"/>
        </w:trPr>
        <w:tc>
          <w:tcPr>
            <w:tcW w:w="6608" w:type="dxa"/>
          </w:tcPr>
          <w:p w:rsidR="003B6BD5" w:rsidRPr="00633E70" w:rsidRDefault="003B6BD5" w:rsidP="00A97B9B">
            <w:pPr>
              <w:pStyle w:val="ListParagraph"/>
              <w:numPr>
                <w:ilvl w:val="0"/>
                <w:numId w:val="8"/>
              </w:numPr>
              <w:suppressAutoHyphens/>
              <w:spacing w:line="276" w:lineRule="auto"/>
              <w:ind w:left="360"/>
            </w:pPr>
            <w:r w:rsidRPr="00633E70">
              <w:t>The AEP policy specifies the process for handling promotion reviews when reviewee has appointments in more than one unit. (V.M.)</w:t>
            </w:r>
          </w:p>
        </w:tc>
        <w:tc>
          <w:tcPr>
            <w:tcW w:w="1892" w:type="dxa"/>
            <w:vAlign w:val="center"/>
          </w:tcPr>
          <w:p w:rsidR="003B6BD5" w:rsidRPr="00E914C9" w:rsidRDefault="003B6BD5" w:rsidP="00600124">
            <w:pPr>
              <w:suppressAutoHyphens/>
              <w:spacing w:after="200" w:line="276" w:lineRule="auto"/>
              <w:jc w:val="center"/>
            </w:pPr>
          </w:p>
        </w:tc>
      </w:tr>
    </w:tbl>
    <w:p w:rsidR="00143D29" w:rsidRPr="00143D29" w:rsidRDefault="00143D29" w:rsidP="00937BF1">
      <w:pPr>
        <w:suppressAutoHyphens/>
        <w:spacing w:after="200" w:line="276" w:lineRule="auto"/>
      </w:pPr>
    </w:p>
    <w:sectPr w:rsidR="00143D29" w:rsidRPr="00143D29" w:rsidSect="003B6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12" w:rsidRDefault="000F0412" w:rsidP="006D3DD8">
      <w:r>
        <w:separator/>
      </w:r>
    </w:p>
  </w:endnote>
  <w:endnote w:type="continuationSeparator" w:id="0">
    <w:p w:rsidR="000F0412" w:rsidRDefault="000F0412" w:rsidP="006D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12" w:rsidRDefault="000F0412" w:rsidP="006D3DD8">
      <w:r>
        <w:separator/>
      </w:r>
    </w:p>
  </w:footnote>
  <w:footnote w:type="continuationSeparator" w:id="0">
    <w:p w:rsidR="000F0412" w:rsidRDefault="000F0412" w:rsidP="006D3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B21"/>
    <w:multiLevelType w:val="multilevel"/>
    <w:tmpl w:val="0F34AC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50F9D"/>
    <w:multiLevelType w:val="hybridMultilevel"/>
    <w:tmpl w:val="A78C3F90"/>
    <w:lvl w:ilvl="0" w:tplc="0409000F">
      <w:start w:val="1"/>
      <w:numFmt w:val="decimal"/>
      <w:lvlText w:val="%1."/>
      <w:lvlJc w:val="left"/>
      <w:pPr>
        <w:ind w:left="773" w:hanging="360"/>
      </w:pPr>
      <w:rPr>
        <w:rFonts w:hint="default"/>
      </w:rPr>
    </w:lvl>
    <w:lvl w:ilvl="1" w:tplc="04090019">
      <w:start w:val="1"/>
      <w:numFmt w:val="lowerLetter"/>
      <w:lvlText w:val="%2."/>
      <w:lvlJc w:val="left"/>
      <w:pPr>
        <w:ind w:left="1493" w:hanging="360"/>
      </w:pPr>
      <w:rPr>
        <w:rFonts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2092305"/>
    <w:multiLevelType w:val="multilevel"/>
    <w:tmpl w:val="8EFCC23E"/>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Arial" w:hAnsi="Aria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4784367"/>
    <w:multiLevelType w:val="multilevel"/>
    <w:tmpl w:val="F0AA4E62"/>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620B7C"/>
    <w:multiLevelType w:val="hybridMultilevel"/>
    <w:tmpl w:val="3B5E0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87373"/>
    <w:multiLevelType w:val="multilevel"/>
    <w:tmpl w:val="AD58B742"/>
    <w:lvl w:ilvl="0">
      <w:start w:val="1"/>
      <w:numFmt w:val="upperRoman"/>
      <w:lvlText w:val="%1."/>
      <w:lvlJc w:val="left"/>
      <w:pPr>
        <w:ind w:left="52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3F1EFA"/>
    <w:multiLevelType w:val="hybridMultilevel"/>
    <w:tmpl w:val="189C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865BDC"/>
    <w:multiLevelType w:val="hybridMultilevel"/>
    <w:tmpl w:val="816A366A"/>
    <w:lvl w:ilvl="0" w:tplc="0409000F">
      <w:start w:val="1"/>
      <w:numFmt w:val="decimal"/>
      <w:lvlText w:val="%1."/>
      <w:lvlJc w:val="left"/>
      <w:pPr>
        <w:ind w:left="450" w:hanging="360"/>
      </w:pPr>
      <w:rPr>
        <w:rFonts w:hint="default"/>
      </w:rPr>
    </w:lvl>
    <w:lvl w:ilvl="1" w:tplc="0409000F">
      <w:start w:val="1"/>
      <w:numFmt w:val="decimal"/>
      <w:lvlText w:val="%2."/>
      <w:lvlJc w:val="left"/>
      <w:pPr>
        <w:ind w:left="1170" w:hanging="360"/>
      </w:pPr>
      <w:rPr>
        <w:rFont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656C2C9E"/>
    <w:multiLevelType w:val="hybridMultilevel"/>
    <w:tmpl w:val="B06E1F02"/>
    <w:lvl w:ilvl="0" w:tplc="0409000F">
      <w:start w:val="1"/>
      <w:numFmt w:val="decimal"/>
      <w:lvlText w:val="%1."/>
      <w:lvlJc w:val="left"/>
      <w:pPr>
        <w:ind w:left="773" w:hanging="360"/>
      </w:pPr>
      <w:rPr>
        <w:rFonts w:hint="default"/>
      </w:rPr>
    </w:lvl>
    <w:lvl w:ilvl="1" w:tplc="04090019">
      <w:start w:val="1"/>
      <w:numFmt w:val="lowerLetter"/>
      <w:lvlText w:val="%2."/>
      <w:lvlJc w:val="left"/>
      <w:pPr>
        <w:ind w:left="1493" w:hanging="360"/>
      </w:pPr>
      <w:rPr>
        <w:rFonts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6666316A"/>
    <w:multiLevelType w:val="hybridMultilevel"/>
    <w:tmpl w:val="FC504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8498B"/>
    <w:multiLevelType w:val="hybridMultilevel"/>
    <w:tmpl w:val="5AB0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023F1"/>
    <w:multiLevelType w:val="hybridMultilevel"/>
    <w:tmpl w:val="2D02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A3F74"/>
    <w:multiLevelType w:val="hybridMultilevel"/>
    <w:tmpl w:val="3E0CCED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1"/>
  </w:num>
  <w:num w:numId="7">
    <w:abstractNumId w:val="12"/>
  </w:num>
  <w:num w:numId="8">
    <w:abstractNumId w:val="7"/>
  </w:num>
  <w:num w:numId="9">
    <w:abstractNumId w:val="8"/>
  </w:num>
  <w:num w:numId="10">
    <w:abstractNumId w:val="1"/>
  </w:num>
  <w:num w:numId="11">
    <w:abstractNumId w:val="9"/>
  </w:num>
  <w:num w:numId="12">
    <w:abstractNumId w:val="6"/>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5B"/>
    <w:rsid w:val="0001559C"/>
    <w:rsid w:val="0003549E"/>
    <w:rsid w:val="000424C9"/>
    <w:rsid w:val="00067D6E"/>
    <w:rsid w:val="00074AC1"/>
    <w:rsid w:val="000C0A3E"/>
    <w:rsid w:val="000C3113"/>
    <w:rsid w:val="000D7D79"/>
    <w:rsid w:val="000F0412"/>
    <w:rsid w:val="00115934"/>
    <w:rsid w:val="0012596A"/>
    <w:rsid w:val="00126BAB"/>
    <w:rsid w:val="00130209"/>
    <w:rsid w:val="00130A9B"/>
    <w:rsid w:val="00140346"/>
    <w:rsid w:val="00143D29"/>
    <w:rsid w:val="00154480"/>
    <w:rsid w:val="00187174"/>
    <w:rsid w:val="001910E8"/>
    <w:rsid w:val="001A0180"/>
    <w:rsid w:val="001C6F53"/>
    <w:rsid w:val="001C70F5"/>
    <w:rsid w:val="001D4A80"/>
    <w:rsid w:val="001E2D64"/>
    <w:rsid w:val="002045B9"/>
    <w:rsid w:val="00214A04"/>
    <w:rsid w:val="00236F33"/>
    <w:rsid w:val="00250D3B"/>
    <w:rsid w:val="0027056F"/>
    <w:rsid w:val="0027619B"/>
    <w:rsid w:val="0028315A"/>
    <w:rsid w:val="002A76AE"/>
    <w:rsid w:val="002C00A2"/>
    <w:rsid w:val="002C0F4A"/>
    <w:rsid w:val="002E0D52"/>
    <w:rsid w:val="002F6225"/>
    <w:rsid w:val="002F695B"/>
    <w:rsid w:val="00300814"/>
    <w:rsid w:val="00301350"/>
    <w:rsid w:val="00313E5D"/>
    <w:rsid w:val="003449F1"/>
    <w:rsid w:val="003509BC"/>
    <w:rsid w:val="003726C3"/>
    <w:rsid w:val="003727CC"/>
    <w:rsid w:val="003A74DD"/>
    <w:rsid w:val="003B6BD5"/>
    <w:rsid w:val="003C04CC"/>
    <w:rsid w:val="003D64F6"/>
    <w:rsid w:val="003E4C50"/>
    <w:rsid w:val="003E6496"/>
    <w:rsid w:val="003F77F0"/>
    <w:rsid w:val="004165AE"/>
    <w:rsid w:val="00435528"/>
    <w:rsid w:val="00444DF8"/>
    <w:rsid w:val="00481220"/>
    <w:rsid w:val="00481E22"/>
    <w:rsid w:val="004B0531"/>
    <w:rsid w:val="004B47D8"/>
    <w:rsid w:val="004C50A1"/>
    <w:rsid w:val="004C5E8D"/>
    <w:rsid w:val="004F2590"/>
    <w:rsid w:val="00527CC8"/>
    <w:rsid w:val="00533ED7"/>
    <w:rsid w:val="005342CC"/>
    <w:rsid w:val="005822A4"/>
    <w:rsid w:val="005B04A2"/>
    <w:rsid w:val="00600124"/>
    <w:rsid w:val="00606F33"/>
    <w:rsid w:val="00653992"/>
    <w:rsid w:val="00671EE6"/>
    <w:rsid w:val="00673458"/>
    <w:rsid w:val="006A32CD"/>
    <w:rsid w:val="006C2F4B"/>
    <w:rsid w:val="006D3DD8"/>
    <w:rsid w:val="0073716A"/>
    <w:rsid w:val="00737A34"/>
    <w:rsid w:val="00770E65"/>
    <w:rsid w:val="00780BB8"/>
    <w:rsid w:val="00780DAE"/>
    <w:rsid w:val="00796132"/>
    <w:rsid w:val="007A105B"/>
    <w:rsid w:val="007B0FD8"/>
    <w:rsid w:val="007B7211"/>
    <w:rsid w:val="007F5165"/>
    <w:rsid w:val="0082447D"/>
    <w:rsid w:val="00850DD0"/>
    <w:rsid w:val="00853FAD"/>
    <w:rsid w:val="00896752"/>
    <w:rsid w:val="008979D1"/>
    <w:rsid w:val="008B1750"/>
    <w:rsid w:val="008F5740"/>
    <w:rsid w:val="00937BF1"/>
    <w:rsid w:val="0094408D"/>
    <w:rsid w:val="00952600"/>
    <w:rsid w:val="009601C5"/>
    <w:rsid w:val="009B6E62"/>
    <w:rsid w:val="009C2A80"/>
    <w:rsid w:val="009C761F"/>
    <w:rsid w:val="009D4EB0"/>
    <w:rsid w:val="009E2194"/>
    <w:rsid w:val="009F60F5"/>
    <w:rsid w:val="00A16E84"/>
    <w:rsid w:val="00A172B1"/>
    <w:rsid w:val="00A56078"/>
    <w:rsid w:val="00A93CD2"/>
    <w:rsid w:val="00A97B9B"/>
    <w:rsid w:val="00AA233B"/>
    <w:rsid w:val="00AA606B"/>
    <w:rsid w:val="00AA7BE3"/>
    <w:rsid w:val="00AC4965"/>
    <w:rsid w:val="00AC76D9"/>
    <w:rsid w:val="00AD465C"/>
    <w:rsid w:val="00AE5E83"/>
    <w:rsid w:val="00AF6A40"/>
    <w:rsid w:val="00B0309F"/>
    <w:rsid w:val="00B969E0"/>
    <w:rsid w:val="00BA14F5"/>
    <w:rsid w:val="00BA7B4E"/>
    <w:rsid w:val="00BC0650"/>
    <w:rsid w:val="00BC6045"/>
    <w:rsid w:val="00BE30FF"/>
    <w:rsid w:val="00C14CF7"/>
    <w:rsid w:val="00C31EB6"/>
    <w:rsid w:val="00C32DDD"/>
    <w:rsid w:val="00C37BF9"/>
    <w:rsid w:val="00C429B9"/>
    <w:rsid w:val="00C51CA8"/>
    <w:rsid w:val="00C6641E"/>
    <w:rsid w:val="00C95821"/>
    <w:rsid w:val="00CB3A79"/>
    <w:rsid w:val="00CC299B"/>
    <w:rsid w:val="00CE3E8C"/>
    <w:rsid w:val="00D270C0"/>
    <w:rsid w:val="00D2763C"/>
    <w:rsid w:val="00D47503"/>
    <w:rsid w:val="00D750AC"/>
    <w:rsid w:val="00D9152D"/>
    <w:rsid w:val="00DB0280"/>
    <w:rsid w:val="00DC6A0D"/>
    <w:rsid w:val="00DE5F84"/>
    <w:rsid w:val="00E0257F"/>
    <w:rsid w:val="00E14045"/>
    <w:rsid w:val="00E35A82"/>
    <w:rsid w:val="00E914C9"/>
    <w:rsid w:val="00EA627D"/>
    <w:rsid w:val="00EF5989"/>
    <w:rsid w:val="00F25123"/>
    <w:rsid w:val="00F30181"/>
    <w:rsid w:val="00F42564"/>
    <w:rsid w:val="00F515D2"/>
    <w:rsid w:val="00F62201"/>
    <w:rsid w:val="00F956B9"/>
    <w:rsid w:val="00FF2F69"/>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331C"/>
  <w15:docId w15:val="{80F0A0C8-6400-49D6-A208-0A5E8E0C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695B"/>
    <w:pPr>
      <w:ind w:left="720"/>
      <w:contextualSpacing/>
    </w:pPr>
  </w:style>
  <w:style w:type="character" w:styleId="CommentReference">
    <w:name w:val="annotation reference"/>
    <w:basedOn w:val="DefaultParagraphFont"/>
    <w:unhideWhenUsed/>
    <w:rsid w:val="002F695B"/>
    <w:rPr>
      <w:sz w:val="16"/>
      <w:szCs w:val="16"/>
    </w:rPr>
  </w:style>
  <w:style w:type="table" w:styleId="TableGrid">
    <w:name w:val="Table Grid"/>
    <w:basedOn w:val="TableNormal"/>
    <w:uiPriority w:val="39"/>
    <w:rsid w:val="00276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19B"/>
    <w:rPr>
      <w:rFonts w:ascii="Tahoma" w:hAnsi="Tahoma" w:cs="Tahoma"/>
      <w:sz w:val="16"/>
      <w:szCs w:val="16"/>
    </w:rPr>
  </w:style>
  <w:style w:type="character" w:customStyle="1" w:styleId="BalloonTextChar">
    <w:name w:val="Balloon Text Char"/>
    <w:basedOn w:val="DefaultParagraphFont"/>
    <w:link w:val="BalloonText"/>
    <w:uiPriority w:val="99"/>
    <w:semiHidden/>
    <w:rsid w:val="0027619B"/>
    <w:rPr>
      <w:rFonts w:ascii="Tahoma" w:hAnsi="Tahoma" w:cs="Tahoma"/>
      <w:sz w:val="16"/>
      <w:szCs w:val="16"/>
    </w:rPr>
  </w:style>
  <w:style w:type="character" w:styleId="PlaceholderText">
    <w:name w:val="Placeholder Text"/>
    <w:basedOn w:val="DefaultParagraphFont"/>
    <w:uiPriority w:val="99"/>
    <w:semiHidden/>
    <w:rsid w:val="0027619B"/>
    <w:rPr>
      <w:color w:val="808080"/>
    </w:rPr>
  </w:style>
  <w:style w:type="paragraph" w:styleId="Header">
    <w:name w:val="header"/>
    <w:basedOn w:val="Normal"/>
    <w:link w:val="HeaderChar"/>
    <w:uiPriority w:val="99"/>
    <w:unhideWhenUsed/>
    <w:rsid w:val="006D3DD8"/>
    <w:pPr>
      <w:tabs>
        <w:tab w:val="center" w:pos="4680"/>
        <w:tab w:val="right" w:pos="9360"/>
      </w:tabs>
    </w:pPr>
  </w:style>
  <w:style w:type="character" w:customStyle="1" w:styleId="HeaderChar">
    <w:name w:val="Header Char"/>
    <w:basedOn w:val="DefaultParagraphFont"/>
    <w:link w:val="Header"/>
    <w:uiPriority w:val="99"/>
    <w:rsid w:val="006D3DD8"/>
  </w:style>
  <w:style w:type="paragraph" w:styleId="Footer">
    <w:name w:val="footer"/>
    <w:basedOn w:val="Normal"/>
    <w:link w:val="FooterChar"/>
    <w:uiPriority w:val="99"/>
    <w:unhideWhenUsed/>
    <w:rsid w:val="006D3DD8"/>
    <w:pPr>
      <w:tabs>
        <w:tab w:val="center" w:pos="4680"/>
        <w:tab w:val="right" w:pos="9360"/>
      </w:tabs>
    </w:pPr>
  </w:style>
  <w:style w:type="character" w:customStyle="1" w:styleId="FooterChar">
    <w:name w:val="Footer Char"/>
    <w:basedOn w:val="DefaultParagraphFont"/>
    <w:link w:val="Footer"/>
    <w:uiPriority w:val="99"/>
    <w:rsid w:val="006D3DD8"/>
  </w:style>
  <w:style w:type="character" w:styleId="Hyperlink">
    <w:name w:val="Hyperlink"/>
    <w:basedOn w:val="DefaultParagraphFont"/>
    <w:uiPriority w:val="99"/>
    <w:unhideWhenUsed/>
    <w:rsid w:val="00AA606B"/>
    <w:rPr>
      <w:color w:val="0000FF" w:themeColor="hyperlink"/>
      <w:u w:val="single"/>
    </w:rPr>
  </w:style>
  <w:style w:type="character" w:styleId="FollowedHyperlink">
    <w:name w:val="FollowedHyperlink"/>
    <w:basedOn w:val="DefaultParagraphFont"/>
    <w:uiPriority w:val="99"/>
    <w:semiHidden/>
    <w:unhideWhenUsed/>
    <w:rsid w:val="004355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45593">
      <w:bodyDiv w:val="1"/>
      <w:marLeft w:val="0"/>
      <w:marRight w:val="0"/>
      <w:marTop w:val="0"/>
      <w:marBottom w:val="0"/>
      <w:divBdr>
        <w:top w:val="none" w:sz="0" w:space="0" w:color="auto"/>
        <w:left w:val="none" w:sz="0" w:space="0" w:color="auto"/>
        <w:bottom w:val="none" w:sz="0" w:space="0" w:color="auto"/>
        <w:right w:val="none" w:sz="0" w:space="0" w:color="auto"/>
      </w:divBdr>
    </w:div>
    <w:div w:id="386295025">
      <w:bodyDiv w:val="1"/>
      <w:marLeft w:val="0"/>
      <w:marRight w:val="0"/>
      <w:marTop w:val="0"/>
      <w:marBottom w:val="0"/>
      <w:divBdr>
        <w:top w:val="none" w:sz="0" w:space="0" w:color="auto"/>
        <w:left w:val="none" w:sz="0" w:space="0" w:color="auto"/>
        <w:bottom w:val="none" w:sz="0" w:space="0" w:color="auto"/>
        <w:right w:val="none" w:sz="0" w:space="0" w:color="auto"/>
      </w:divBdr>
      <w:divsChild>
        <w:div w:id="883297044">
          <w:marLeft w:val="0"/>
          <w:marRight w:val="0"/>
          <w:marTop w:val="0"/>
          <w:marBottom w:val="0"/>
          <w:divBdr>
            <w:top w:val="none" w:sz="0" w:space="0" w:color="auto"/>
            <w:left w:val="none" w:sz="0" w:space="0" w:color="auto"/>
            <w:bottom w:val="none" w:sz="0" w:space="0" w:color="auto"/>
            <w:right w:val="none" w:sz="0" w:space="0" w:color="auto"/>
          </w:divBdr>
        </w:div>
        <w:div w:id="374426895">
          <w:marLeft w:val="0"/>
          <w:marRight w:val="0"/>
          <w:marTop w:val="0"/>
          <w:marBottom w:val="0"/>
          <w:divBdr>
            <w:top w:val="none" w:sz="0" w:space="0" w:color="auto"/>
            <w:left w:val="none" w:sz="0" w:space="0" w:color="auto"/>
            <w:bottom w:val="none" w:sz="0" w:space="0" w:color="auto"/>
            <w:right w:val="none" w:sz="0" w:space="0" w:color="auto"/>
          </w:divBdr>
        </w:div>
        <w:div w:id="1276205602">
          <w:marLeft w:val="0"/>
          <w:marRight w:val="0"/>
          <w:marTop w:val="0"/>
          <w:marBottom w:val="0"/>
          <w:divBdr>
            <w:top w:val="none" w:sz="0" w:space="0" w:color="auto"/>
            <w:left w:val="none" w:sz="0" w:space="0" w:color="auto"/>
            <w:bottom w:val="none" w:sz="0" w:space="0" w:color="auto"/>
            <w:right w:val="none" w:sz="0" w:space="0" w:color="auto"/>
          </w:divBdr>
        </w:div>
        <w:div w:id="1879078692">
          <w:marLeft w:val="0"/>
          <w:marRight w:val="0"/>
          <w:marTop w:val="0"/>
          <w:marBottom w:val="0"/>
          <w:divBdr>
            <w:top w:val="none" w:sz="0" w:space="0" w:color="auto"/>
            <w:left w:val="none" w:sz="0" w:space="0" w:color="auto"/>
            <w:bottom w:val="none" w:sz="0" w:space="0" w:color="auto"/>
            <w:right w:val="none" w:sz="0" w:space="0" w:color="auto"/>
          </w:divBdr>
        </w:div>
        <w:div w:id="1557618011">
          <w:marLeft w:val="0"/>
          <w:marRight w:val="0"/>
          <w:marTop w:val="0"/>
          <w:marBottom w:val="0"/>
          <w:divBdr>
            <w:top w:val="none" w:sz="0" w:space="0" w:color="auto"/>
            <w:left w:val="none" w:sz="0" w:space="0" w:color="auto"/>
            <w:bottom w:val="none" w:sz="0" w:space="0" w:color="auto"/>
            <w:right w:val="none" w:sz="0" w:space="0" w:color="auto"/>
          </w:divBdr>
        </w:div>
      </w:divsChild>
    </w:div>
    <w:div w:id="615791955">
      <w:bodyDiv w:val="1"/>
      <w:marLeft w:val="0"/>
      <w:marRight w:val="0"/>
      <w:marTop w:val="0"/>
      <w:marBottom w:val="0"/>
      <w:divBdr>
        <w:top w:val="none" w:sz="0" w:space="0" w:color="auto"/>
        <w:left w:val="none" w:sz="0" w:space="0" w:color="auto"/>
        <w:bottom w:val="none" w:sz="0" w:space="0" w:color="auto"/>
        <w:right w:val="none" w:sz="0" w:space="0" w:color="auto"/>
      </w:divBdr>
      <w:divsChild>
        <w:div w:id="1535847934">
          <w:marLeft w:val="0"/>
          <w:marRight w:val="0"/>
          <w:marTop w:val="0"/>
          <w:marBottom w:val="0"/>
          <w:divBdr>
            <w:top w:val="none" w:sz="0" w:space="0" w:color="auto"/>
            <w:left w:val="none" w:sz="0" w:space="0" w:color="auto"/>
            <w:bottom w:val="none" w:sz="0" w:space="0" w:color="auto"/>
            <w:right w:val="none" w:sz="0" w:space="0" w:color="auto"/>
          </w:divBdr>
        </w:div>
        <w:div w:id="2103331235">
          <w:marLeft w:val="0"/>
          <w:marRight w:val="0"/>
          <w:marTop w:val="0"/>
          <w:marBottom w:val="0"/>
          <w:divBdr>
            <w:top w:val="none" w:sz="0" w:space="0" w:color="auto"/>
            <w:left w:val="none" w:sz="0" w:space="0" w:color="auto"/>
            <w:bottom w:val="none" w:sz="0" w:space="0" w:color="auto"/>
            <w:right w:val="none" w:sz="0" w:space="0" w:color="auto"/>
          </w:divBdr>
        </w:div>
        <w:div w:id="448623527">
          <w:marLeft w:val="0"/>
          <w:marRight w:val="0"/>
          <w:marTop w:val="0"/>
          <w:marBottom w:val="0"/>
          <w:divBdr>
            <w:top w:val="none" w:sz="0" w:space="0" w:color="auto"/>
            <w:left w:val="none" w:sz="0" w:space="0" w:color="auto"/>
            <w:bottom w:val="none" w:sz="0" w:space="0" w:color="auto"/>
            <w:right w:val="none" w:sz="0" w:space="0" w:color="auto"/>
          </w:divBdr>
        </w:div>
        <w:div w:id="1922787597">
          <w:marLeft w:val="0"/>
          <w:marRight w:val="0"/>
          <w:marTop w:val="0"/>
          <w:marBottom w:val="0"/>
          <w:divBdr>
            <w:top w:val="none" w:sz="0" w:space="0" w:color="auto"/>
            <w:left w:val="none" w:sz="0" w:space="0" w:color="auto"/>
            <w:bottom w:val="none" w:sz="0" w:space="0" w:color="auto"/>
            <w:right w:val="none" w:sz="0" w:space="0" w:color="auto"/>
          </w:divBdr>
        </w:div>
        <w:div w:id="1169250132">
          <w:marLeft w:val="0"/>
          <w:marRight w:val="0"/>
          <w:marTop w:val="0"/>
          <w:marBottom w:val="0"/>
          <w:divBdr>
            <w:top w:val="none" w:sz="0" w:space="0" w:color="auto"/>
            <w:left w:val="none" w:sz="0" w:space="0" w:color="auto"/>
            <w:bottom w:val="none" w:sz="0" w:space="0" w:color="auto"/>
            <w:right w:val="none" w:sz="0" w:space="0" w:color="auto"/>
          </w:divBdr>
        </w:div>
        <w:div w:id="1415779884">
          <w:marLeft w:val="0"/>
          <w:marRight w:val="0"/>
          <w:marTop w:val="0"/>
          <w:marBottom w:val="0"/>
          <w:divBdr>
            <w:top w:val="none" w:sz="0" w:space="0" w:color="auto"/>
            <w:left w:val="none" w:sz="0" w:space="0" w:color="auto"/>
            <w:bottom w:val="none" w:sz="0" w:space="0" w:color="auto"/>
            <w:right w:val="none" w:sz="0" w:space="0" w:color="auto"/>
          </w:divBdr>
        </w:div>
      </w:divsChild>
    </w:div>
    <w:div w:id="670451739">
      <w:bodyDiv w:val="1"/>
      <w:marLeft w:val="0"/>
      <w:marRight w:val="0"/>
      <w:marTop w:val="0"/>
      <w:marBottom w:val="0"/>
      <w:divBdr>
        <w:top w:val="none" w:sz="0" w:space="0" w:color="auto"/>
        <w:left w:val="none" w:sz="0" w:space="0" w:color="auto"/>
        <w:bottom w:val="none" w:sz="0" w:space="0" w:color="auto"/>
        <w:right w:val="none" w:sz="0" w:space="0" w:color="auto"/>
      </w:divBdr>
      <w:divsChild>
        <w:div w:id="2114012757">
          <w:marLeft w:val="0"/>
          <w:marRight w:val="0"/>
          <w:marTop w:val="0"/>
          <w:marBottom w:val="0"/>
          <w:divBdr>
            <w:top w:val="none" w:sz="0" w:space="0" w:color="auto"/>
            <w:left w:val="none" w:sz="0" w:space="0" w:color="auto"/>
            <w:bottom w:val="none" w:sz="0" w:space="0" w:color="auto"/>
            <w:right w:val="none" w:sz="0" w:space="0" w:color="auto"/>
          </w:divBdr>
        </w:div>
        <w:div w:id="931470717">
          <w:marLeft w:val="0"/>
          <w:marRight w:val="0"/>
          <w:marTop w:val="0"/>
          <w:marBottom w:val="0"/>
          <w:divBdr>
            <w:top w:val="none" w:sz="0" w:space="0" w:color="auto"/>
            <w:left w:val="none" w:sz="0" w:space="0" w:color="auto"/>
            <w:bottom w:val="none" w:sz="0" w:space="0" w:color="auto"/>
            <w:right w:val="none" w:sz="0" w:space="0" w:color="auto"/>
          </w:divBdr>
        </w:div>
        <w:div w:id="1716930521">
          <w:marLeft w:val="0"/>
          <w:marRight w:val="0"/>
          <w:marTop w:val="0"/>
          <w:marBottom w:val="0"/>
          <w:divBdr>
            <w:top w:val="none" w:sz="0" w:space="0" w:color="auto"/>
            <w:left w:val="none" w:sz="0" w:space="0" w:color="auto"/>
            <w:bottom w:val="none" w:sz="0" w:space="0" w:color="auto"/>
            <w:right w:val="none" w:sz="0" w:space="0" w:color="auto"/>
          </w:divBdr>
        </w:div>
        <w:div w:id="2070954362">
          <w:marLeft w:val="0"/>
          <w:marRight w:val="0"/>
          <w:marTop w:val="0"/>
          <w:marBottom w:val="0"/>
          <w:divBdr>
            <w:top w:val="none" w:sz="0" w:space="0" w:color="auto"/>
            <w:left w:val="none" w:sz="0" w:space="0" w:color="auto"/>
            <w:bottom w:val="none" w:sz="0" w:space="0" w:color="auto"/>
            <w:right w:val="none" w:sz="0" w:space="0" w:color="auto"/>
          </w:divBdr>
        </w:div>
        <w:div w:id="1987584188">
          <w:marLeft w:val="0"/>
          <w:marRight w:val="0"/>
          <w:marTop w:val="0"/>
          <w:marBottom w:val="0"/>
          <w:divBdr>
            <w:top w:val="none" w:sz="0" w:space="0" w:color="auto"/>
            <w:left w:val="none" w:sz="0" w:space="0" w:color="auto"/>
            <w:bottom w:val="none" w:sz="0" w:space="0" w:color="auto"/>
            <w:right w:val="none" w:sz="0" w:space="0" w:color="auto"/>
          </w:divBdr>
        </w:div>
        <w:div w:id="1590577322">
          <w:marLeft w:val="0"/>
          <w:marRight w:val="0"/>
          <w:marTop w:val="0"/>
          <w:marBottom w:val="0"/>
          <w:divBdr>
            <w:top w:val="none" w:sz="0" w:space="0" w:color="auto"/>
            <w:left w:val="none" w:sz="0" w:space="0" w:color="auto"/>
            <w:bottom w:val="none" w:sz="0" w:space="0" w:color="auto"/>
            <w:right w:val="none" w:sz="0" w:space="0" w:color="auto"/>
          </w:divBdr>
        </w:div>
        <w:div w:id="1039475257">
          <w:marLeft w:val="0"/>
          <w:marRight w:val="0"/>
          <w:marTop w:val="0"/>
          <w:marBottom w:val="0"/>
          <w:divBdr>
            <w:top w:val="none" w:sz="0" w:space="0" w:color="auto"/>
            <w:left w:val="none" w:sz="0" w:space="0" w:color="auto"/>
            <w:bottom w:val="none" w:sz="0" w:space="0" w:color="auto"/>
            <w:right w:val="none" w:sz="0" w:space="0" w:color="auto"/>
          </w:divBdr>
        </w:div>
        <w:div w:id="1923296433">
          <w:marLeft w:val="0"/>
          <w:marRight w:val="0"/>
          <w:marTop w:val="0"/>
          <w:marBottom w:val="0"/>
          <w:divBdr>
            <w:top w:val="none" w:sz="0" w:space="0" w:color="auto"/>
            <w:left w:val="none" w:sz="0" w:space="0" w:color="auto"/>
            <w:bottom w:val="none" w:sz="0" w:space="0" w:color="auto"/>
            <w:right w:val="none" w:sz="0" w:space="0" w:color="auto"/>
          </w:divBdr>
        </w:div>
        <w:div w:id="236668157">
          <w:marLeft w:val="0"/>
          <w:marRight w:val="0"/>
          <w:marTop w:val="0"/>
          <w:marBottom w:val="0"/>
          <w:divBdr>
            <w:top w:val="none" w:sz="0" w:space="0" w:color="auto"/>
            <w:left w:val="none" w:sz="0" w:space="0" w:color="auto"/>
            <w:bottom w:val="none" w:sz="0" w:space="0" w:color="auto"/>
            <w:right w:val="none" w:sz="0" w:space="0" w:color="auto"/>
          </w:divBdr>
        </w:div>
      </w:divsChild>
    </w:div>
    <w:div w:id="1087842521">
      <w:bodyDiv w:val="1"/>
      <w:marLeft w:val="0"/>
      <w:marRight w:val="0"/>
      <w:marTop w:val="0"/>
      <w:marBottom w:val="0"/>
      <w:divBdr>
        <w:top w:val="none" w:sz="0" w:space="0" w:color="auto"/>
        <w:left w:val="none" w:sz="0" w:space="0" w:color="auto"/>
        <w:bottom w:val="none" w:sz="0" w:space="0" w:color="auto"/>
        <w:right w:val="none" w:sz="0" w:space="0" w:color="auto"/>
      </w:divBdr>
    </w:div>
    <w:div w:id="1120763440">
      <w:bodyDiv w:val="1"/>
      <w:marLeft w:val="0"/>
      <w:marRight w:val="0"/>
      <w:marTop w:val="0"/>
      <w:marBottom w:val="0"/>
      <w:divBdr>
        <w:top w:val="none" w:sz="0" w:space="0" w:color="auto"/>
        <w:left w:val="none" w:sz="0" w:space="0" w:color="auto"/>
        <w:bottom w:val="none" w:sz="0" w:space="0" w:color="auto"/>
        <w:right w:val="none" w:sz="0" w:space="0" w:color="auto"/>
      </w:divBdr>
      <w:divsChild>
        <w:div w:id="1266157725">
          <w:marLeft w:val="0"/>
          <w:marRight w:val="0"/>
          <w:marTop w:val="0"/>
          <w:marBottom w:val="0"/>
          <w:divBdr>
            <w:top w:val="none" w:sz="0" w:space="0" w:color="auto"/>
            <w:left w:val="none" w:sz="0" w:space="0" w:color="auto"/>
            <w:bottom w:val="none" w:sz="0" w:space="0" w:color="auto"/>
            <w:right w:val="none" w:sz="0" w:space="0" w:color="auto"/>
          </w:divBdr>
        </w:div>
        <w:div w:id="2118452267">
          <w:marLeft w:val="0"/>
          <w:marRight w:val="0"/>
          <w:marTop w:val="0"/>
          <w:marBottom w:val="0"/>
          <w:divBdr>
            <w:top w:val="none" w:sz="0" w:space="0" w:color="auto"/>
            <w:left w:val="none" w:sz="0" w:space="0" w:color="auto"/>
            <w:bottom w:val="none" w:sz="0" w:space="0" w:color="auto"/>
            <w:right w:val="none" w:sz="0" w:space="0" w:color="auto"/>
          </w:divBdr>
        </w:div>
        <w:div w:id="1564829771">
          <w:marLeft w:val="0"/>
          <w:marRight w:val="0"/>
          <w:marTop w:val="0"/>
          <w:marBottom w:val="0"/>
          <w:divBdr>
            <w:top w:val="none" w:sz="0" w:space="0" w:color="auto"/>
            <w:left w:val="none" w:sz="0" w:space="0" w:color="auto"/>
            <w:bottom w:val="none" w:sz="0" w:space="0" w:color="auto"/>
            <w:right w:val="none" w:sz="0" w:space="0" w:color="auto"/>
          </w:divBdr>
        </w:div>
        <w:div w:id="1041132183">
          <w:marLeft w:val="0"/>
          <w:marRight w:val="0"/>
          <w:marTop w:val="0"/>
          <w:marBottom w:val="0"/>
          <w:divBdr>
            <w:top w:val="none" w:sz="0" w:space="0" w:color="auto"/>
            <w:left w:val="none" w:sz="0" w:space="0" w:color="auto"/>
            <w:bottom w:val="none" w:sz="0" w:space="0" w:color="auto"/>
            <w:right w:val="none" w:sz="0" w:space="0" w:color="auto"/>
          </w:divBdr>
        </w:div>
        <w:div w:id="1071122641">
          <w:marLeft w:val="0"/>
          <w:marRight w:val="0"/>
          <w:marTop w:val="0"/>
          <w:marBottom w:val="0"/>
          <w:divBdr>
            <w:top w:val="none" w:sz="0" w:space="0" w:color="auto"/>
            <w:left w:val="none" w:sz="0" w:space="0" w:color="auto"/>
            <w:bottom w:val="none" w:sz="0" w:space="0" w:color="auto"/>
            <w:right w:val="none" w:sz="0" w:space="0" w:color="auto"/>
          </w:divBdr>
        </w:div>
      </w:divsChild>
    </w:div>
    <w:div w:id="1502505322">
      <w:bodyDiv w:val="1"/>
      <w:marLeft w:val="0"/>
      <w:marRight w:val="0"/>
      <w:marTop w:val="0"/>
      <w:marBottom w:val="0"/>
      <w:divBdr>
        <w:top w:val="none" w:sz="0" w:space="0" w:color="auto"/>
        <w:left w:val="none" w:sz="0" w:space="0" w:color="auto"/>
        <w:bottom w:val="none" w:sz="0" w:space="0" w:color="auto"/>
        <w:right w:val="none" w:sz="0" w:space="0" w:color="auto"/>
      </w:divBdr>
      <w:divsChild>
        <w:div w:id="506673466">
          <w:marLeft w:val="0"/>
          <w:marRight w:val="0"/>
          <w:marTop w:val="0"/>
          <w:marBottom w:val="0"/>
          <w:divBdr>
            <w:top w:val="none" w:sz="0" w:space="0" w:color="auto"/>
            <w:left w:val="none" w:sz="0" w:space="0" w:color="auto"/>
            <w:bottom w:val="none" w:sz="0" w:space="0" w:color="auto"/>
            <w:right w:val="none" w:sz="0" w:space="0" w:color="auto"/>
          </w:divBdr>
        </w:div>
        <w:div w:id="1959945172">
          <w:marLeft w:val="0"/>
          <w:marRight w:val="0"/>
          <w:marTop w:val="0"/>
          <w:marBottom w:val="0"/>
          <w:divBdr>
            <w:top w:val="none" w:sz="0" w:space="0" w:color="auto"/>
            <w:left w:val="none" w:sz="0" w:space="0" w:color="auto"/>
            <w:bottom w:val="none" w:sz="0" w:space="0" w:color="auto"/>
            <w:right w:val="none" w:sz="0" w:space="0" w:color="auto"/>
          </w:divBdr>
        </w:div>
        <w:div w:id="1554348694">
          <w:marLeft w:val="0"/>
          <w:marRight w:val="0"/>
          <w:marTop w:val="0"/>
          <w:marBottom w:val="0"/>
          <w:divBdr>
            <w:top w:val="none" w:sz="0" w:space="0" w:color="auto"/>
            <w:left w:val="none" w:sz="0" w:space="0" w:color="auto"/>
            <w:bottom w:val="none" w:sz="0" w:space="0" w:color="auto"/>
            <w:right w:val="none" w:sz="0" w:space="0" w:color="auto"/>
          </w:divBdr>
        </w:div>
        <w:div w:id="1930387607">
          <w:marLeft w:val="0"/>
          <w:marRight w:val="0"/>
          <w:marTop w:val="0"/>
          <w:marBottom w:val="0"/>
          <w:divBdr>
            <w:top w:val="none" w:sz="0" w:space="0" w:color="auto"/>
            <w:left w:val="none" w:sz="0" w:space="0" w:color="auto"/>
            <w:bottom w:val="none" w:sz="0" w:space="0" w:color="auto"/>
            <w:right w:val="none" w:sz="0" w:space="0" w:color="auto"/>
          </w:divBdr>
        </w:div>
        <w:div w:id="655110539">
          <w:marLeft w:val="0"/>
          <w:marRight w:val="0"/>
          <w:marTop w:val="0"/>
          <w:marBottom w:val="0"/>
          <w:divBdr>
            <w:top w:val="none" w:sz="0" w:space="0" w:color="auto"/>
            <w:left w:val="none" w:sz="0" w:space="0" w:color="auto"/>
            <w:bottom w:val="none" w:sz="0" w:space="0" w:color="auto"/>
            <w:right w:val="none" w:sz="0" w:space="0" w:color="auto"/>
          </w:divBdr>
        </w:div>
        <w:div w:id="644819473">
          <w:marLeft w:val="0"/>
          <w:marRight w:val="0"/>
          <w:marTop w:val="0"/>
          <w:marBottom w:val="0"/>
          <w:divBdr>
            <w:top w:val="none" w:sz="0" w:space="0" w:color="auto"/>
            <w:left w:val="none" w:sz="0" w:space="0" w:color="auto"/>
            <w:bottom w:val="none" w:sz="0" w:space="0" w:color="auto"/>
            <w:right w:val="none" w:sz="0" w:space="0" w:color="auto"/>
          </w:divBdr>
        </w:div>
      </w:divsChild>
    </w:div>
    <w:div w:id="1634023025">
      <w:bodyDiv w:val="1"/>
      <w:marLeft w:val="0"/>
      <w:marRight w:val="0"/>
      <w:marTop w:val="0"/>
      <w:marBottom w:val="0"/>
      <w:divBdr>
        <w:top w:val="none" w:sz="0" w:space="0" w:color="auto"/>
        <w:left w:val="none" w:sz="0" w:space="0" w:color="auto"/>
        <w:bottom w:val="none" w:sz="0" w:space="0" w:color="auto"/>
        <w:right w:val="none" w:sz="0" w:space="0" w:color="auto"/>
      </w:divBdr>
      <w:divsChild>
        <w:div w:id="2034912853">
          <w:marLeft w:val="0"/>
          <w:marRight w:val="0"/>
          <w:marTop w:val="0"/>
          <w:marBottom w:val="0"/>
          <w:divBdr>
            <w:top w:val="none" w:sz="0" w:space="0" w:color="auto"/>
            <w:left w:val="none" w:sz="0" w:space="0" w:color="auto"/>
            <w:bottom w:val="none" w:sz="0" w:space="0" w:color="auto"/>
            <w:right w:val="none" w:sz="0" w:space="0" w:color="auto"/>
          </w:divBdr>
        </w:div>
        <w:div w:id="827327655">
          <w:marLeft w:val="0"/>
          <w:marRight w:val="0"/>
          <w:marTop w:val="0"/>
          <w:marBottom w:val="0"/>
          <w:divBdr>
            <w:top w:val="none" w:sz="0" w:space="0" w:color="auto"/>
            <w:left w:val="none" w:sz="0" w:space="0" w:color="auto"/>
            <w:bottom w:val="none" w:sz="0" w:space="0" w:color="auto"/>
            <w:right w:val="none" w:sz="0" w:space="0" w:color="auto"/>
          </w:divBdr>
        </w:div>
        <w:div w:id="191917280">
          <w:marLeft w:val="0"/>
          <w:marRight w:val="0"/>
          <w:marTop w:val="0"/>
          <w:marBottom w:val="0"/>
          <w:divBdr>
            <w:top w:val="none" w:sz="0" w:space="0" w:color="auto"/>
            <w:left w:val="none" w:sz="0" w:space="0" w:color="auto"/>
            <w:bottom w:val="none" w:sz="0" w:space="0" w:color="auto"/>
            <w:right w:val="none" w:sz="0" w:space="0" w:color="auto"/>
          </w:divBdr>
        </w:div>
        <w:div w:id="1736779528">
          <w:marLeft w:val="0"/>
          <w:marRight w:val="0"/>
          <w:marTop w:val="0"/>
          <w:marBottom w:val="0"/>
          <w:divBdr>
            <w:top w:val="none" w:sz="0" w:space="0" w:color="auto"/>
            <w:left w:val="none" w:sz="0" w:space="0" w:color="auto"/>
            <w:bottom w:val="none" w:sz="0" w:space="0" w:color="auto"/>
            <w:right w:val="none" w:sz="0" w:space="0" w:color="auto"/>
          </w:divBdr>
        </w:div>
        <w:div w:id="1716930411">
          <w:marLeft w:val="0"/>
          <w:marRight w:val="0"/>
          <w:marTop w:val="0"/>
          <w:marBottom w:val="0"/>
          <w:divBdr>
            <w:top w:val="none" w:sz="0" w:space="0" w:color="auto"/>
            <w:left w:val="none" w:sz="0" w:space="0" w:color="auto"/>
            <w:bottom w:val="none" w:sz="0" w:space="0" w:color="auto"/>
            <w:right w:val="none" w:sz="0" w:space="0" w:color="auto"/>
          </w:divBdr>
        </w:div>
      </w:divsChild>
    </w:div>
    <w:div w:id="1810587225">
      <w:bodyDiv w:val="1"/>
      <w:marLeft w:val="0"/>
      <w:marRight w:val="0"/>
      <w:marTop w:val="0"/>
      <w:marBottom w:val="0"/>
      <w:divBdr>
        <w:top w:val="none" w:sz="0" w:space="0" w:color="auto"/>
        <w:left w:val="none" w:sz="0" w:space="0" w:color="auto"/>
        <w:bottom w:val="none" w:sz="0" w:space="0" w:color="auto"/>
        <w:right w:val="none" w:sz="0" w:space="0" w:color="auto"/>
      </w:divBdr>
    </w:div>
    <w:div w:id="2013489685">
      <w:bodyDiv w:val="1"/>
      <w:marLeft w:val="0"/>
      <w:marRight w:val="0"/>
      <w:marTop w:val="0"/>
      <w:marBottom w:val="0"/>
      <w:divBdr>
        <w:top w:val="none" w:sz="0" w:space="0" w:color="auto"/>
        <w:left w:val="none" w:sz="0" w:space="0" w:color="auto"/>
        <w:bottom w:val="none" w:sz="0" w:space="0" w:color="auto"/>
        <w:right w:val="none" w:sz="0" w:space="0" w:color="auto"/>
      </w:divBdr>
      <w:divsChild>
        <w:div w:id="364141373">
          <w:marLeft w:val="0"/>
          <w:marRight w:val="0"/>
          <w:marTop w:val="0"/>
          <w:marBottom w:val="0"/>
          <w:divBdr>
            <w:top w:val="none" w:sz="0" w:space="0" w:color="auto"/>
            <w:left w:val="none" w:sz="0" w:space="0" w:color="auto"/>
            <w:bottom w:val="none" w:sz="0" w:space="0" w:color="auto"/>
            <w:right w:val="none" w:sz="0" w:space="0" w:color="auto"/>
          </w:divBdr>
        </w:div>
        <w:div w:id="1250045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umd.edu/policies/documents/UM_Guidelines_for_PTK_Appointment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DCE0-AAD4-4FF4-A1BF-CF718F2D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E Heidt</dc:creator>
  <cp:lastModifiedBy>hugh bruck</cp:lastModifiedBy>
  <cp:revision>3</cp:revision>
  <dcterms:created xsi:type="dcterms:W3CDTF">2019-03-18T21:55:00Z</dcterms:created>
  <dcterms:modified xsi:type="dcterms:W3CDTF">2019-03-18T21:56:00Z</dcterms:modified>
</cp:coreProperties>
</file>